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24FD5DE8" w:rsidR="00CD4C7B" w:rsidRPr="00B266B0" w:rsidRDefault="00F37875" w:rsidP="00CD4C7B">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4C46D2">
        <w:rPr>
          <w:bCs/>
          <w:noProof w:val="0"/>
          <w:sz w:val="24"/>
          <w:szCs w:val="24"/>
        </w:rPr>
        <w:t>7</w:t>
      </w:r>
      <w:r w:rsidR="00CD4C7B" w:rsidRPr="00B266B0">
        <w:rPr>
          <w:bCs/>
          <w:noProof w:val="0"/>
          <w:sz w:val="24"/>
          <w:szCs w:val="24"/>
        </w:rPr>
        <w:tab/>
      </w:r>
      <w:r w:rsidR="004C46D2" w:rsidRPr="004C46D2">
        <w:rPr>
          <w:bCs/>
          <w:noProof w:val="0"/>
          <w:sz w:val="24"/>
          <w:szCs w:val="24"/>
        </w:rPr>
        <w:t>R2-1909013</w:t>
      </w:r>
    </w:p>
    <w:p w14:paraId="231362B2" w14:textId="60F91DE8" w:rsidR="00CD4C7B" w:rsidRPr="004C46D2" w:rsidRDefault="004C46D2" w:rsidP="00CD4C7B">
      <w:pPr>
        <w:pStyle w:val="Header"/>
        <w:tabs>
          <w:tab w:val="right" w:pos="9639"/>
        </w:tabs>
        <w:rPr>
          <w:rFonts w:eastAsia="SimSun"/>
          <w:bCs/>
          <w:i/>
          <w:sz w:val="24"/>
          <w:szCs w:val="24"/>
          <w:lang w:eastAsia="zh-CN"/>
        </w:rPr>
      </w:pPr>
      <w:bookmarkStart w:id="0" w:name="_Hlk16684309"/>
      <w:r>
        <w:rPr>
          <w:rFonts w:cs="Arial"/>
          <w:sz w:val="24"/>
          <w:szCs w:val="24"/>
        </w:rPr>
        <w:t>Prague,</w:t>
      </w:r>
      <w:r w:rsidR="006771D6">
        <w:rPr>
          <w:rFonts w:cs="Arial"/>
          <w:sz w:val="24"/>
          <w:szCs w:val="24"/>
        </w:rPr>
        <w:t xml:space="preserve"> </w:t>
      </w:r>
      <w:bookmarkStart w:id="1" w:name="_GoBack"/>
      <w:bookmarkEnd w:id="1"/>
      <w:r>
        <w:rPr>
          <w:rFonts w:cs="Arial"/>
          <w:sz w:val="24"/>
          <w:szCs w:val="24"/>
        </w:rPr>
        <w:t>Czech Republic</w:t>
      </w:r>
      <w:r w:rsidRPr="00B62621">
        <w:rPr>
          <w:rFonts w:cs="Arial"/>
          <w:sz w:val="24"/>
          <w:szCs w:val="24"/>
        </w:rPr>
        <w:t xml:space="preserve">, </w:t>
      </w:r>
      <w:r>
        <w:rPr>
          <w:rFonts w:cs="Arial"/>
          <w:sz w:val="24"/>
          <w:szCs w:val="24"/>
        </w:rPr>
        <w:t>26 – 30 August,</w:t>
      </w:r>
      <w:r w:rsidRPr="00B62621">
        <w:rPr>
          <w:rFonts w:cs="Arial"/>
          <w:sz w:val="24"/>
          <w:szCs w:val="24"/>
        </w:rPr>
        <w:t xml:space="preserve"> </w:t>
      </w:r>
      <w:bookmarkEnd w:id="0"/>
      <w:r w:rsidR="00F37875" w:rsidRPr="004D1605">
        <w:rPr>
          <w:rFonts w:cs="Arial"/>
          <w:bCs/>
          <w:sz w:val="22"/>
        </w:rPr>
        <w:t>201</w:t>
      </w:r>
      <w:r w:rsidR="00F37875">
        <w:rPr>
          <w:rFonts w:cs="Arial"/>
          <w:bCs/>
          <w:sz w:val="22"/>
        </w:rPr>
        <w:t>9</w:t>
      </w:r>
      <w:r w:rsidR="003340B7">
        <w:rPr>
          <w:rFonts w:eastAsia="SimSun"/>
          <w:bCs/>
          <w:sz w:val="24"/>
          <w:szCs w:val="24"/>
          <w:lang w:eastAsia="zh-CN"/>
        </w:rPr>
        <w:tab/>
      </w:r>
      <w:r w:rsidRPr="004C46D2">
        <w:rPr>
          <w:bCs/>
          <w:i/>
          <w:noProof w:val="0"/>
          <w:sz w:val="24"/>
          <w:szCs w:val="24"/>
        </w:rPr>
        <w:t>R2-1906182</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7C7F032"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B3C28">
        <w:rPr>
          <w:rFonts w:cs="Arial"/>
          <w:b/>
          <w:bCs/>
          <w:sz w:val="24"/>
        </w:rPr>
        <w:t>11.10.4</w:t>
      </w:r>
      <w:r w:rsidR="003340B7">
        <w:rPr>
          <w:rFonts w:cs="Arial"/>
          <w:b/>
          <w:bCs/>
          <w:sz w:val="24"/>
        </w:rPr>
        <w:t>.4</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2586FB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2" w:name="_Hlk791704"/>
      <w:r w:rsidR="001B3C28">
        <w:rPr>
          <w:rFonts w:ascii="Arial" w:hAnsi="Arial" w:cs="Arial"/>
          <w:b/>
          <w:bCs/>
          <w:sz w:val="24"/>
        </w:rPr>
        <w:t xml:space="preserve">Efficient </w:t>
      </w:r>
      <w:r w:rsidR="006657EA">
        <w:rPr>
          <w:rFonts w:ascii="Arial" w:hAnsi="Arial" w:cs="Arial"/>
          <w:b/>
          <w:bCs/>
          <w:sz w:val="24"/>
        </w:rPr>
        <w:t xml:space="preserve">RRC configuration with </w:t>
      </w:r>
      <w:r w:rsidR="001B3C28">
        <w:rPr>
          <w:rFonts w:ascii="Arial" w:hAnsi="Arial" w:cs="Arial"/>
          <w:b/>
          <w:bCs/>
          <w:sz w:val="24"/>
        </w:rPr>
        <w:t>low latency</w:t>
      </w:r>
      <w:bookmarkEnd w:id="2"/>
    </w:p>
    <w:p w14:paraId="3AC3A0B1" w14:textId="27BBC8BD"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E57B2" w:rsidRPr="00AE57B2">
        <w:rPr>
          <w:rFonts w:ascii="Arial" w:hAnsi="Arial" w:cs="Arial"/>
          <w:b/>
          <w:bCs/>
          <w:sz w:val="24"/>
        </w:rPr>
        <w:t>LTE_NR_DC_CA_enh-Core</w:t>
      </w:r>
      <w:r w:rsidR="00AE57B2">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EC707F">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D6D7885" w14:textId="1C7C2F15" w:rsidR="001B3C28" w:rsidRDefault="001B3C28" w:rsidP="00CD4C7B">
      <w:r>
        <w:t>To achieve low latency configuration of serving cells, the RRC overhead should be minimized. To do that, one should first understand the Rel-15 limitations and how they ca</w:t>
      </w:r>
      <w:r w:rsidR="00195D17">
        <w:t>n</w:t>
      </w:r>
      <w:r>
        <w:t xml:space="preserve"> be overcome. For example, during the Rel-15 NR work, the NR RRC overhead was discussed (see e.g. </w:t>
      </w:r>
      <w:hyperlink r:id="rId12" w:history="1">
        <w:r w:rsidR="00F25CA2">
          <w:rPr>
            <w:rStyle w:val="Hyperlink"/>
          </w:rPr>
          <w:t>R2-1813375</w:t>
        </w:r>
      </w:hyperlink>
      <w:r>
        <w:t xml:space="preserve">) and several bottlenecks identified especially in the L1 parameter signalling. </w:t>
      </w:r>
    </w:p>
    <w:p w14:paraId="5060DF23" w14:textId="77777777" w:rsidR="00F25CA2" w:rsidRDefault="00F25CA2" w:rsidP="00F25CA2">
      <w:pPr>
        <w:jc w:val="both"/>
      </w:pPr>
      <w:r>
        <w:t>In the DCCA WI, one of the main objectives is:</w:t>
      </w:r>
    </w:p>
    <w:tbl>
      <w:tblPr>
        <w:tblStyle w:val="TableGrid"/>
        <w:tblW w:w="0" w:type="auto"/>
        <w:tblLook w:val="04A0" w:firstRow="1" w:lastRow="0" w:firstColumn="1" w:lastColumn="0" w:noHBand="0" w:noVBand="1"/>
      </w:tblPr>
      <w:tblGrid>
        <w:gridCol w:w="9631"/>
      </w:tblGrid>
      <w:tr w:rsidR="00F25CA2" w14:paraId="29EB5196" w14:textId="77777777" w:rsidTr="004E13D9">
        <w:trPr>
          <w:trHeight w:val="1535"/>
        </w:trPr>
        <w:tc>
          <w:tcPr>
            <w:tcW w:w="9631" w:type="dxa"/>
          </w:tcPr>
          <w:p w14:paraId="2F5D23DF" w14:textId="77777777" w:rsidR="00F25CA2" w:rsidRPr="004D2E54" w:rsidRDefault="00F25CA2" w:rsidP="004E13D9">
            <w:pPr>
              <w:spacing w:after="0"/>
              <w:ind w:left="720"/>
              <w:jc w:val="both"/>
              <w:rPr>
                <w:bCs/>
                <w:lang w:val="en-US"/>
              </w:rPr>
            </w:pPr>
          </w:p>
          <w:p w14:paraId="2335F9E8" w14:textId="77777777" w:rsidR="00F25CA2" w:rsidRDefault="00F25CA2" w:rsidP="004E13D9">
            <w:pPr>
              <w:numPr>
                <w:ilvl w:val="0"/>
                <w:numId w:val="5"/>
              </w:numPr>
              <w:overflowPunct w:val="0"/>
              <w:autoSpaceDE w:val="0"/>
              <w:autoSpaceDN w:val="0"/>
              <w:adjustRightInd w:val="0"/>
              <w:spacing w:after="0"/>
              <w:jc w:val="both"/>
              <w:textAlignment w:val="baseline"/>
              <w:rPr>
                <w:bCs/>
                <w:lang w:val="en-US"/>
              </w:rPr>
            </w:pPr>
            <w:r w:rsidRPr="004D2E54">
              <w:rPr>
                <w:b/>
                <w:bCs/>
                <w:lang w:val="en-US"/>
              </w:rPr>
              <w:t>Efficient and low latency serving cell configuration/activation/setup:</w:t>
            </w:r>
            <w:r w:rsidRPr="004D2E54">
              <w:rPr>
                <w:bCs/>
                <w:lang w:val="en-US"/>
              </w:rPr>
              <w:t xml:space="preserve"> Minimizing signalling overhead and latency needed for initial cell setup, additional cell setup and additional cell activation for data transmission.</w:t>
            </w:r>
            <w:r>
              <w:rPr>
                <w:bCs/>
                <w:lang w:val="en-US"/>
              </w:rPr>
              <w:t xml:space="preserve"> [RAN2, RAN1, RAN4, RAN3]</w:t>
            </w:r>
          </w:p>
          <w:p w14:paraId="68C0EF3A" w14:textId="77777777" w:rsidR="00F25CA2" w:rsidRDefault="00F25CA2" w:rsidP="004E13D9">
            <w:pPr>
              <w:numPr>
                <w:ilvl w:val="1"/>
                <w:numId w:val="5"/>
              </w:numPr>
              <w:overflowPunct w:val="0"/>
              <w:autoSpaceDE w:val="0"/>
              <w:autoSpaceDN w:val="0"/>
              <w:adjustRightInd w:val="0"/>
              <w:spacing w:after="0"/>
              <w:jc w:val="both"/>
              <w:textAlignment w:val="baseline"/>
              <w:rPr>
                <w:bCs/>
                <w:lang w:val="en-US"/>
              </w:rPr>
            </w:pPr>
            <w:r>
              <w:rPr>
                <w:bCs/>
                <w:lang w:val="en-US"/>
              </w:rPr>
              <w:t>This objective applies to MR-DC, NR-NR DC and CA</w:t>
            </w:r>
          </w:p>
          <w:p w14:paraId="4CA67BE1" w14:textId="77777777" w:rsidR="00F25CA2" w:rsidRPr="001B6B05" w:rsidRDefault="00F25CA2" w:rsidP="004E13D9">
            <w:pPr>
              <w:numPr>
                <w:ilvl w:val="1"/>
                <w:numId w:val="5"/>
              </w:numPr>
              <w:overflowPunct w:val="0"/>
              <w:autoSpaceDE w:val="0"/>
              <w:autoSpaceDN w:val="0"/>
              <w:adjustRightInd w:val="0"/>
              <w:spacing w:after="0"/>
              <w:jc w:val="both"/>
              <w:textAlignment w:val="baseline"/>
              <w:rPr>
                <w:bCs/>
                <w:lang w:val="en-US"/>
              </w:rPr>
            </w:pPr>
            <w:r>
              <w:rPr>
                <w:bCs/>
                <w:lang w:val="en-US"/>
              </w:rPr>
              <w:t>The objective should consider enhancements when starting from IDLE, INACTIVE mode and CONNECTED mode</w:t>
            </w:r>
          </w:p>
        </w:tc>
      </w:tr>
    </w:tbl>
    <w:p w14:paraId="15D2BB1C" w14:textId="77777777" w:rsidR="00F25CA2" w:rsidRDefault="00F25CA2" w:rsidP="00CD4C7B"/>
    <w:p w14:paraId="0ADDEB21" w14:textId="27BABFD7" w:rsidR="001B3C28" w:rsidRDefault="008F043C" w:rsidP="00CD4C7B">
      <w:r>
        <w:t xml:space="preserve">Where the contribution </w:t>
      </w:r>
      <w:hyperlink r:id="rId13" w:history="1">
        <w:r w:rsidRPr="00F7357D">
          <w:rPr>
            <w:rStyle w:val="Hyperlink"/>
          </w:rPr>
          <w:t>R2-1900352</w:t>
        </w:r>
      </w:hyperlink>
      <w:r>
        <w:t xml:space="preserve"> </w:t>
      </w:r>
      <w:r w:rsidR="00790418">
        <w:t>attempt</w:t>
      </w:r>
      <w:r w:rsidR="00833690">
        <w:t>ed</w:t>
      </w:r>
      <w:r>
        <w:t xml:space="preserve"> to analyze the exact latency for setting up SCell when starting from IDLE mode, </w:t>
      </w:r>
      <w:r w:rsidR="001B3C28">
        <w:t xml:space="preserve">this contribution attempt to </w:t>
      </w:r>
      <w:r>
        <w:t xml:space="preserve">consider the RRC aspects affecting </w:t>
      </w:r>
      <w:r w:rsidR="001B3C28">
        <w:t xml:space="preserve">the serving cell setup </w:t>
      </w:r>
      <w:r w:rsidR="007F4AB9">
        <w:t xml:space="preserve">signalling </w:t>
      </w:r>
      <w:r w:rsidR="001B3C28">
        <w:t xml:space="preserve">and discuss what can be done to improve the </w:t>
      </w:r>
      <w:r>
        <w:t xml:space="preserve">RRC signalling </w:t>
      </w:r>
      <w:r w:rsidR="001B3C28">
        <w:t>in Rel-16.</w:t>
      </w:r>
    </w:p>
    <w:p w14:paraId="127ACA6D" w14:textId="0A3227EA" w:rsidR="00CD4C7B" w:rsidRPr="006E13D1" w:rsidRDefault="00CD4C7B" w:rsidP="00CD4C7B">
      <w:pPr>
        <w:pStyle w:val="Heading1"/>
      </w:pPr>
      <w:r w:rsidRPr="006E13D1">
        <w:t>2</w:t>
      </w:r>
      <w:r w:rsidRPr="006E13D1">
        <w:tab/>
      </w:r>
      <w:r w:rsidR="001B3C28">
        <w:t>NR RRC limitations in Rel-15</w:t>
      </w:r>
      <w:r w:rsidRPr="006E13D1">
        <w:t xml:space="preserve"> </w:t>
      </w:r>
    </w:p>
    <w:p w14:paraId="2EC1AA4C" w14:textId="3964C1DF" w:rsidR="001B3C28" w:rsidRDefault="001B3C28" w:rsidP="00CD4C7B">
      <w:r>
        <w:t xml:space="preserve">The Rel-15 L1 parameter signalling can grow to be huge: As identified in </w:t>
      </w:r>
      <w:hyperlink r:id="rId14" w:tooltip="C:Data3GPPExtractsR2-1810613.docx" w:history="1">
        <w:r w:rsidR="00045596" w:rsidRPr="009E76F0">
          <w:rPr>
            <w:rStyle w:val="Hyperlink"/>
          </w:rPr>
          <w:t>R2-1810613</w:t>
        </w:r>
      </w:hyperlink>
      <w:r w:rsidR="00045596">
        <w:t xml:space="preserve"> , e.g. the CSI-RS configurations can </w:t>
      </w:r>
      <w:r w:rsidR="00790418">
        <w:t>g</w:t>
      </w:r>
      <w:r w:rsidR="00045596">
        <w:t xml:space="preserve">row to be quite large, up to the maximum RRC message size of 9000 octets. This was then </w:t>
      </w:r>
      <w:r>
        <w:t xml:space="preserve">discussed </w:t>
      </w:r>
      <w:r w:rsidR="00045596">
        <w:t xml:space="preserve">further </w:t>
      </w:r>
      <w:r>
        <w:t xml:space="preserve">in </w:t>
      </w:r>
      <w:r w:rsidR="00045596">
        <w:t xml:space="preserve">e.g. </w:t>
      </w:r>
      <w:hyperlink r:id="rId15" w:history="1">
        <w:r w:rsidR="00045596">
          <w:rPr>
            <w:rStyle w:val="Hyperlink"/>
          </w:rPr>
          <w:t>R2-1811335</w:t>
        </w:r>
      </w:hyperlink>
      <w:r>
        <w:t xml:space="preserve"> </w:t>
      </w:r>
      <w:r w:rsidR="00045596">
        <w:t xml:space="preserve">or </w:t>
      </w:r>
      <w:hyperlink r:id="rId16" w:history="1">
        <w:r w:rsidR="00694349">
          <w:rPr>
            <w:rStyle w:val="Hyperlink"/>
          </w:rPr>
          <w:t>R2-1813375</w:t>
        </w:r>
      </w:hyperlink>
      <w:r w:rsidR="00045596">
        <w:t xml:space="preserve">, which results in LS to RAN1 in </w:t>
      </w:r>
      <w:hyperlink r:id="rId17" w:history="1">
        <w:r w:rsidR="00045596" w:rsidRPr="00045596">
          <w:rPr>
            <w:rStyle w:val="Hyperlink"/>
          </w:rPr>
          <w:t>R2-1816024</w:t>
        </w:r>
      </w:hyperlink>
      <w:r w:rsidR="00045596">
        <w:t xml:space="preserve"> and </w:t>
      </w:r>
      <w:hyperlink r:id="rId18" w:history="1">
        <w:r w:rsidR="00045596">
          <w:rPr>
            <w:rStyle w:val="Hyperlink"/>
          </w:rPr>
          <w:t>R2-1813462</w:t>
        </w:r>
      </w:hyperlink>
      <w:r w:rsidR="00045596">
        <w:t xml:space="preserve">, along with RAN2 CR in </w:t>
      </w:r>
      <w:hyperlink r:id="rId19" w:history="1">
        <w:r w:rsidR="00045596">
          <w:rPr>
            <w:rStyle w:val="Hyperlink"/>
          </w:rPr>
          <w:t>R2-1819089</w:t>
        </w:r>
      </w:hyperlink>
      <w:r w:rsidR="00594999">
        <w:t>, limiting the total size of</w:t>
      </w:r>
      <w:r w:rsidR="00045596">
        <w:t xml:space="preserve"> </w:t>
      </w:r>
      <w:r w:rsidR="00594999">
        <w:t>RRC configuration to 45000 octets. E</w:t>
      </w:r>
      <w:r>
        <w:t xml:space="preserve">ven some basic configurations can grow to be larger than the RRC message size limit of 9000 octets. </w:t>
      </w:r>
    </w:p>
    <w:p w14:paraId="65C7B3B7" w14:textId="2BC77CD7" w:rsidR="001B3C28" w:rsidRDefault="001B3C28" w:rsidP="00CD4C7B">
      <w:r>
        <w:t xml:space="preserve">This </w:t>
      </w:r>
      <w:r w:rsidR="00594999">
        <w:t xml:space="preserve">may </w:t>
      </w:r>
      <w:r>
        <w:t xml:space="preserve">lead to some awkward limitations: For example, if configuring one BWP alone can require </w:t>
      </w:r>
      <w:r w:rsidR="00AB4B2F">
        <w:t xml:space="preserve">that network uses the </w:t>
      </w:r>
      <w:r>
        <w:t xml:space="preserve">maximum RRC message size, </w:t>
      </w:r>
      <w:r w:rsidR="00AB4B2F">
        <w:t xml:space="preserve">it may </w:t>
      </w:r>
      <w:r>
        <w:t xml:space="preserve">never </w:t>
      </w:r>
      <w:r w:rsidR="00AB4B2F">
        <w:t xml:space="preserve">be possible to </w:t>
      </w:r>
      <w:r>
        <w:t xml:space="preserve">configure a slew of BWPs </w:t>
      </w:r>
      <w:r w:rsidR="00AB4B2F">
        <w:t xml:space="preserve">in one message </w:t>
      </w:r>
      <w:r>
        <w:t xml:space="preserve">to the UE and then later switch between them. Instead, the network is easily limited to configuring just one (or at maximum, two) BWPs, for which the BWP is then adapted via a quick RRC reconfiguration only adapting the bandwidth and location. </w:t>
      </w:r>
    </w:p>
    <w:p w14:paraId="5BF6B318" w14:textId="17A09E3F" w:rsidR="001B3C28" w:rsidRDefault="001B3C28" w:rsidP="00CD4C7B">
      <w:r>
        <w:t xml:space="preserve">Similarly, since the CSI-RS configuration can be extremely large, the network might opt to do constant reconfigurations to change the measured CSI-RS resources simply to ensure the UE RRC configuration size does not exceed the limits. This creates additional complexity for the network, and easily also increases the latency since UE may not be measuring </w:t>
      </w:r>
      <w:r w:rsidR="00AB4B2F">
        <w:t xml:space="preserve">sufficient resources that </w:t>
      </w:r>
      <w:r>
        <w:t xml:space="preserve">it </w:t>
      </w:r>
      <w:r w:rsidR="0028740D">
        <w:t>c</w:t>
      </w:r>
      <w:r>
        <w:t xml:space="preserve">ould </w:t>
      </w:r>
      <w:r w:rsidR="00AB4B2F">
        <w:t xml:space="preserve">if configured to; the UE </w:t>
      </w:r>
      <w:r>
        <w:t xml:space="preserve">would be limited to what network has </w:t>
      </w:r>
      <w:r w:rsidR="00AB4B2F">
        <w:t xml:space="preserve">configure </w:t>
      </w:r>
      <w:r>
        <w:t xml:space="preserve">for </w:t>
      </w:r>
      <w:r w:rsidR="00AB4B2F">
        <w:t xml:space="preserve">the most </w:t>
      </w:r>
      <w:r>
        <w:t>essential operation</w:t>
      </w:r>
      <w:r w:rsidR="00AB4B2F">
        <w:t>s</w:t>
      </w:r>
      <w:r>
        <w:t xml:space="preserve">. </w:t>
      </w:r>
      <w:r w:rsidR="0028740D">
        <w:t>For a beam-based operation</w:t>
      </w:r>
      <w:r w:rsidR="00AB4B2F">
        <w:t>, this could mean that the beam switching could fail or be inefficient.</w:t>
      </w:r>
    </w:p>
    <w:p w14:paraId="3884F67D" w14:textId="3B41B7C6" w:rsidR="00CD4C7B" w:rsidRPr="006E13D1" w:rsidRDefault="00AB4B2F" w:rsidP="001B49C9">
      <w:r w:rsidRPr="00AB4B2F">
        <w:rPr>
          <w:b/>
        </w:rPr>
        <w:t>Observation 1:</w:t>
      </w:r>
      <w:r>
        <w:t xml:space="preserve"> The larger size of (some) RRC configurations can limit the efficiency of the system operation.</w:t>
      </w:r>
    </w:p>
    <w:p w14:paraId="5FF0E443" w14:textId="39F96592" w:rsidR="00CD4C7B" w:rsidRPr="006E13D1" w:rsidRDefault="00CD4C7B" w:rsidP="00CD4C7B">
      <w:pPr>
        <w:pStyle w:val="Heading1"/>
      </w:pPr>
      <w:r w:rsidRPr="006E13D1">
        <w:lastRenderedPageBreak/>
        <w:t>3</w:t>
      </w:r>
      <w:r w:rsidRPr="006E13D1">
        <w:tab/>
      </w:r>
      <w:r w:rsidR="00AB4B2F">
        <w:t>Overcoming RRC message size limitations</w:t>
      </w:r>
      <w:r w:rsidRPr="006E13D1">
        <w:t xml:space="preserve"> </w:t>
      </w:r>
    </w:p>
    <w:p w14:paraId="3771C9CA" w14:textId="52B70D38" w:rsidR="00CD4C7B" w:rsidRPr="006E13D1" w:rsidRDefault="00CD4C7B" w:rsidP="00CD4C7B">
      <w:pPr>
        <w:pStyle w:val="Heading2"/>
      </w:pPr>
      <w:r w:rsidRPr="006E13D1">
        <w:t>3.1</w:t>
      </w:r>
      <w:r w:rsidRPr="006E13D1">
        <w:tab/>
      </w:r>
      <w:r w:rsidR="00AB4B2F">
        <w:t>Reduced-size RRC configuration</w:t>
      </w:r>
      <w:r w:rsidRPr="006E13D1">
        <w:t xml:space="preserve"> </w:t>
      </w:r>
    </w:p>
    <w:p w14:paraId="266D4C03" w14:textId="19E204AE" w:rsidR="00AB4B2F" w:rsidRDefault="00AB4B2F" w:rsidP="00CD4C7B">
      <w:r>
        <w:t>The most obvious case for reducing the RRC configuration sizes would be that RAN1 and RAN2 re-discuss how the parameters can be configured, effectively creating a “critical extension” of RRC configurations.</w:t>
      </w:r>
      <w:r w:rsidR="00527A60">
        <w:t xml:space="preserve"> However, this would be quite complex undertaking, as the response to the earlier RAN2 LSs in RAN1 was already somewhat reserved (and created no actions, albeit for the reason that it was too late to do anything for Rel-15).</w:t>
      </w:r>
    </w:p>
    <w:p w14:paraId="507AFC4D" w14:textId="30E46172" w:rsidR="00B84DB2" w:rsidRDefault="00B84DB2" w:rsidP="00CD4C7B">
      <w:r w:rsidRPr="00B84DB2">
        <w:rPr>
          <w:b/>
        </w:rPr>
        <w:t xml:space="preserve">Observation </w:t>
      </w:r>
      <w:r w:rsidR="00594999">
        <w:rPr>
          <w:b/>
        </w:rPr>
        <w:t>2</w:t>
      </w:r>
      <w:r w:rsidRPr="00B84DB2">
        <w:rPr>
          <w:b/>
        </w:rPr>
        <w:t>:</w:t>
      </w:r>
      <w:r>
        <w:t xml:space="preserve"> </w:t>
      </w:r>
      <w:r w:rsidR="00594999">
        <w:t>Making critical extensions to simplify existing RRC configurations may be very difficult to accomplish in practice.</w:t>
      </w:r>
    </w:p>
    <w:p w14:paraId="5A7E381B" w14:textId="367EC280" w:rsidR="00CD4C7B" w:rsidRPr="006E13D1" w:rsidRDefault="00CD4C7B" w:rsidP="00CD4C7B">
      <w:pPr>
        <w:pStyle w:val="Heading2"/>
      </w:pPr>
      <w:r w:rsidRPr="006E13D1">
        <w:t>3.2</w:t>
      </w:r>
      <w:r w:rsidRPr="006E13D1">
        <w:tab/>
      </w:r>
      <w:r w:rsidR="00AB4B2F">
        <w:t>RRC message segmentation</w:t>
      </w:r>
      <w:r w:rsidRPr="006E13D1">
        <w:t xml:space="preserve"> </w:t>
      </w:r>
    </w:p>
    <w:p w14:paraId="3D9786C8" w14:textId="5E70F7E3" w:rsidR="00AB4B2F" w:rsidRDefault="00594999" w:rsidP="00CD4C7B">
      <w:r>
        <w:t xml:space="preserve">Segmentation of RRC (UE capability) messages is currently </w:t>
      </w:r>
      <w:r w:rsidR="00601BA1">
        <w:t>discussed</w:t>
      </w:r>
      <w:r>
        <w:t xml:space="preserve"> in the context of the RACS SID </w:t>
      </w:r>
      <w:hyperlink r:id="rId20" w:history="1">
        <w:r w:rsidRPr="00594999">
          <w:rPr>
            <w:rStyle w:val="Hyperlink"/>
          </w:rPr>
          <w:t>RP-181459</w:t>
        </w:r>
      </w:hyperlink>
      <w:r>
        <w:t xml:space="preserve">. Using segmentation would not solve the issue of large configuration overhead but would allow sending e.g. multiple maximum-size BWP configurations via one RRC reconfiguration message. However, it </w:t>
      </w:r>
      <w:r w:rsidR="00601BA1">
        <w:t>remains</w:t>
      </w:r>
      <w:r>
        <w:t xml:space="preserve"> to be seen whether that mechanism will be specified and what its applicability to other RRC messages than UE capabilities would be. </w:t>
      </w:r>
    </w:p>
    <w:p w14:paraId="28495AC9" w14:textId="518710D2" w:rsidR="00594999" w:rsidRDefault="00594999" w:rsidP="00CD4C7B">
      <w:r w:rsidRPr="00594999">
        <w:rPr>
          <w:b/>
        </w:rPr>
        <w:t>Observation 3:</w:t>
      </w:r>
      <w:r>
        <w:t xml:space="preserve"> RRC message segmentation allows sending larger configurations at once but does not solve the problem of signalling overhead.</w:t>
      </w:r>
    </w:p>
    <w:p w14:paraId="459D3589" w14:textId="1A1A6CDE" w:rsidR="00956451" w:rsidRDefault="00956451" w:rsidP="00CD4C7B">
      <w:r w:rsidRPr="00956451">
        <w:rPr>
          <w:b/>
        </w:rPr>
        <w:t>Proposal 1:</w:t>
      </w:r>
      <w:r>
        <w:t xml:space="preserve"> Do not </w:t>
      </w:r>
      <w:r w:rsidR="00054FE5">
        <w:t>specify</w:t>
      </w:r>
      <w:r>
        <w:t xml:space="preserve"> RRC message segmentation in this WID.</w:t>
      </w:r>
    </w:p>
    <w:p w14:paraId="590E836F" w14:textId="134DDFED" w:rsidR="00F25CA2" w:rsidRDefault="00F25CA2" w:rsidP="00F25CA2">
      <w:pPr>
        <w:pStyle w:val="Heading2"/>
      </w:pPr>
      <w:r>
        <w:t>3.3</w:t>
      </w:r>
      <w:r w:rsidRPr="009A7CDE">
        <w:t xml:space="preserve"> </w:t>
      </w:r>
      <w:r>
        <w:tab/>
        <w:t>Group configuration</w:t>
      </w:r>
    </w:p>
    <w:p w14:paraId="3940D668" w14:textId="67B7CF5D" w:rsidR="00F25CA2" w:rsidRDefault="00F25CA2" w:rsidP="00F25CA2">
      <w:pPr>
        <w:jc w:val="both"/>
      </w:pPr>
      <w:r>
        <w:t>Rel-15 LTE</w:t>
      </w:r>
      <w:r w:rsidRPr="001F2F6E">
        <w:t xml:space="preserve"> </w:t>
      </w:r>
      <w:r>
        <w:t xml:space="preserve">allows </w:t>
      </w:r>
      <w:r w:rsidRPr="001F2F6E">
        <w:t>configuring same parameters for multiple SCells via an SCell group configuration (e.g. for intra-band CA or LAA use cases). Up to 4 SCell groups can be used, with group configuration only being provided once and S</w:t>
      </w:r>
      <w:r>
        <w:t>C</w:t>
      </w:r>
      <w:r w:rsidRPr="001F2F6E">
        <w:t>ells utilizing the configuration within the group. Each SCell may also override the common configuration v</w:t>
      </w:r>
      <w:r>
        <w:t>ia</w:t>
      </w:r>
      <w:r w:rsidRPr="001F2F6E">
        <w:t xml:space="preserve"> dedicated signalling (to allow having some differences between the SCell configuration parameters)</w:t>
      </w:r>
      <w:r>
        <w:t xml:space="preserve">. </w:t>
      </w:r>
      <w:r w:rsidR="007F4AB9">
        <w:t>This allows for configuring many cells at once without needing to duplicate the same signalling several times, which is much the same principle as used for the FeatureSets in NR UE capability signalling.</w:t>
      </w:r>
    </w:p>
    <w:p w14:paraId="56676EB2" w14:textId="510C4BE3" w:rsidR="00F25CA2" w:rsidRDefault="007F4AB9" w:rsidP="00CD4C7B">
      <w:r>
        <w:rPr>
          <w:b/>
        </w:rPr>
        <w:t>Observation 4:</w:t>
      </w:r>
      <w:r>
        <w:t xml:space="preserve"> Group configurations can help to reduce signalling overhead if it is possible to clearly identify likely commonalities in signalling related to the groups.</w:t>
      </w:r>
    </w:p>
    <w:p w14:paraId="1D288C2E" w14:textId="40F4A9DB" w:rsidR="00AB4B2F" w:rsidRPr="006E13D1" w:rsidRDefault="00AB4B2F" w:rsidP="00AB4B2F">
      <w:pPr>
        <w:pStyle w:val="Heading2"/>
      </w:pPr>
      <w:r w:rsidRPr="006E13D1">
        <w:t>3.</w:t>
      </w:r>
      <w:r w:rsidR="007F4AB9">
        <w:t>4</w:t>
      </w:r>
      <w:r w:rsidRPr="006E13D1">
        <w:tab/>
      </w:r>
      <w:r>
        <w:t xml:space="preserve">Other possibilities </w:t>
      </w:r>
    </w:p>
    <w:p w14:paraId="7A39C833" w14:textId="51ED334F" w:rsidR="00EC707F" w:rsidRDefault="00475AC0" w:rsidP="00EC707F">
      <w:r>
        <w:t xml:space="preserve">The </w:t>
      </w:r>
      <w:r w:rsidR="00EC707F">
        <w:t xml:space="preserve">solutions </w:t>
      </w:r>
      <w:r w:rsidR="008F043C">
        <w:t xml:space="preserve">discussed above </w:t>
      </w:r>
      <w:r w:rsidR="00EC707F">
        <w:t>have some drawbacks, in particular with the practical details. However, we think that it would still make sense for RAN2 to consider enhancements to the RRC signalling that have no effect to RAN1</w:t>
      </w:r>
      <w:r w:rsidR="008F043C">
        <w:t xml:space="preserve">. Even simple signalling enhancements could be helpful, e.g. the SCell group configuration as done for LTE Rel-15. </w:t>
      </w:r>
    </w:p>
    <w:p w14:paraId="31571CF5" w14:textId="25134D5C" w:rsidR="00EC707F" w:rsidRDefault="00EC707F" w:rsidP="00EC707F">
      <w:r w:rsidRPr="00EC707F">
        <w:rPr>
          <w:b/>
        </w:rPr>
        <w:t xml:space="preserve">Proposal </w:t>
      </w:r>
      <w:r w:rsidR="00956451">
        <w:rPr>
          <w:b/>
        </w:rPr>
        <w:t>2</w:t>
      </w:r>
      <w:r w:rsidRPr="00EC707F">
        <w:rPr>
          <w:b/>
        </w:rPr>
        <w:t>:</w:t>
      </w:r>
      <w:r>
        <w:t xml:space="preserve"> RAN2 to consider enhancements to reduce the overall NR configuration size in this WID. </w:t>
      </w:r>
    </w:p>
    <w:p w14:paraId="006A358C" w14:textId="31D2033E" w:rsidR="007F4AB9" w:rsidRPr="00703B05" w:rsidRDefault="007F4AB9" w:rsidP="007F4AB9">
      <w:pPr>
        <w:rPr>
          <w:b/>
        </w:rPr>
      </w:pPr>
      <w:r>
        <w:rPr>
          <w:b/>
        </w:rPr>
        <w:t xml:space="preserve">Proposal </w:t>
      </w:r>
      <w:r w:rsidR="00956451">
        <w:rPr>
          <w:b/>
        </w:rPr>
        <w:t>3</w:t>
      </w:r>
      <w:r>
        <w:rPr>
          <w:b/>
        </w:rPr>
        <w:t xml:space="preserve">: </w:t>
      </w:r>
      <w:r w:rsidRPr="007F4AB9">
        <w:t>Consider</w:t>
      </w:r>
      <w:r>
        <w:rPr>
          <w:b/>
        </w:rPr>
        <w:t xml:space="preserve"> </w:t>
      </w:r>
      <w:r>
        <w:t>group configuration (for at least NR SCell configurations) in this WID.</w:t>
      </w:r>
    </w:p>
    <w:p w14:paraId="43A12B72" w14:textId="341A4B2F" w:rsidR="00CD4C7B" w:rsidRPr="006E13D1" w:rsidRDefault="00CD4C7B" w:rsidP="00CD4C7B">
      <w:pPr>
        <w:pStyle w:val="Heading1"/>
      </w:pPr>
      <w:r w:rsidRPr="006E13D1">
        <w:t>4</w:t>
      </w:r>
      <w:r w:rsidRPr="006E13D1">
        <w:tab/>
      </w:r>
      <w:r w:rsidR="00AB4B2F">
        <w:t>Conclusions</w:t>
      </w:r>
    </w:p>
    <w:p w14:paraId="6073C965" w14:textId="25C72D42" w:rsidR="00EC707F" w:rsidRDefault="00EC707F" w:rsidP="00CD4C7B">
      <w:r>
        <w:t>We have discussed the overall NR RRC configuration size, and observed/proposed the following:</w:t>
      </w:r>
      <w:r w:rsidR="00CD4C7B" w:rsidRPr="006E13D1">
        <w:t xml:space="preserve"> </w:t>
      </w:r>
    </w:p>
    <w:p w14:paraId="069370B5" w14:textId="77777777" w:rsidR="00EC707F" w:rsidRPr="006E13D1" w:rsidRDefault="00EC707F" w:rsidP="00EC707F">
      <w:r w:rsidRPr="00AB4B2F">
        <w:rPr>
          <w:b/>
        </w:rPr>
        <w:t>Observation 1:</w:t>
      </w:r>
      <w:r>
        <w:t xml:space="preserve"> The larger size of (some) RRC configurations can limit the efficiency of the system operation.</w:t>
      </w:r>
    </w:p>
    <w:p w14:paraId="615774C4" w14:textId="77777777" w:rsidR="00EC707F" w:rsidRDefault="00EC707F" w:rsidP="00EC707F">
      <w:r w:rsidRPr="00B84DB2">
        <w:rPr>
          <w:b/>
        </w:rPr>
        <w:t xml:space="preserve">Observation </w:t>
      </w:r>
      <w:r>
        <w:rPr>
          <w:b/>
        </w:rPr>
        <w:t>2</w:t>
      </w:r>
      <w:r w:rsidRPr="00B84DB2">
        <w:rPr>
          <w:b/>
        </w:rPr>
        <w:t>:</w:t>
      </w:r>
      <w:r>
        <w:t xml:space="preserve"> Making critical extensions to simplify existing RRC configurations may be very difficult to accomplish in practice.</w:t>
      </w:r>
    </w:p>
    <w:p w14:paraId="73277910" w14:textId="23AD240B" w:rsidR="00EC707F" w:rsidRDefault="00EC707F" w:rsidP="00EC707F">
      <w:r w:rsidRPr="00594999">
        <w:rPr>
          <w:b/>
        </w:rPr>
        <w:t>Observation 3:</w:t>
      </w:r>
      <w:r>
        <w:t xml:space="preserve"> RRC message segmentation allows sending larger configurations at once but does not solve the problem of signalling overhead.</w:t>
      </w:r>
    </w:p>
    <w:p w14:paraId="444C8766" w14:textId="781AF40B" w:rsidR="00956451" w:rsidRDefault="00956451" w:rsidP="00EC707F">
      <w:r>
        <w:rPr>
          <w:b/>
        </w:rPr>
        <w:t>Observation 4:</w:t>
      </w:r>
      <w:r>
        <w:t xml:space="preserve"> Group configurations can help to reduce signalling overhead if it is possible to clearly identify likely commonalities in signalling related to the groups.</w:t>
      </w:r>
    </w:p>
    <w:p w14:paraId="17C6FA00" w14:textId="088F3349" w:rsidR="00956451" w:rsidRDefault="00956451" w:rsidP="00956451">
      <w:r w:rsidRPr="00956451">
        <w:rPr>
          <w:b/>
        </w:rPr>
        <w:lastRenderedPageBreak/>
        <w:t>Proposal 1:</w:t>
      </w:r>
      <w:r>
        <w:t xml:space="preserve"> Do not </w:t>
      </w:r>
      <w:r w:rsidR="00054FE5">
        <w:t>specify</w:t>
      </w:r>
      <w:r>
        <w:t xml:space="preserve"> RRC message segmentation in this WID.</w:t>
      </w:r>
    </w:p>
    <w:p w14:paraId="50929C94" w14:textId="164BD7A2" w:rsidR="007F4AB9" w:rsidRDefault="007F4AB9" w:rsidP="007F4AB9">
      <w:r w:rsidRPr="00EC707F">
        <w:rPr>
          <w:b/>
        </w:rPr>
        <w:t xml:space="preserve">Proposal </w:t>
      </w:r>
      <w:r w:rsidR="00956451">
        <w:rPr>
          <w:b/>
        </w:rPr>
        <w:t>2</w:t>
      </w:r>
      <w:r w:rsidRPr="00EC707F">
        <w:rPr>
          <w:b/>
        </w:rPr>
        <w:t>:</w:t>
      </w:r>
      <w:r>
        <w:t xml:space="preserve"> RAN2 to consider enhancements to reduce the overall NR configuration size in this WID. </w:t>
      </w:r>
    </w:p>
    <w:p w14:paraId="35F222F4" w14:textId="60DEDBAA" w:rsidR="00080512" w:rsidRPr="00CD4C7B" w:rsidRDefault="007F4AB9" w:rsidP="00CD4C7B">
      <w:r>
        <w:rPr>
          <w:b/>
        </w:rPr>
        <w:t xml:space="preserve">Proposal </w:t>
      </w:r>
      <w:r w:rsidR="00956451">
        <w:rPr>
          <w:b/>
        </w:rPr>
        <w:t>3</w:t>
      </w:r>
      <w:r>
        <w:rPr>
          <w:b/>
        </w:rPr>
        <w:t xml:space="preserve">: </w:t>
      </w:r>
      <w:r w:rsidRPr="007F4AB9">
        <w:t>Consider</w:t>
      </w:r>
      <w:r>
        <w:rPr>
          <w:b/>
        </w:rPr>
        <w:t xml:space="preserve"> </w:t>
      </w:r>
      <w:r>
        <w:t>group configuration (for at least NR SCell configurations) in this WID.</w:t>
      </w: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9223A2" w14:textId="77777777" w:rsidR="00AF6AF1" w:rsidRDefault="00AF6AF1">
      <w:r>
        <w:separator/>
      </w:r>
    </w:p>
  </w:endnote>
  <w:endnote w:type="continuationSeparator" w:id="0">
    <w:p w14:paraId="61BE7307" w14:textId="77777777" w:rsidR="00AF6AF1" w:rsidRDefault="00AF6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B33C50" w14:textId="77777777" w:rsidR="00AF6AF1" w:rsidRDefault="00AF6AF1">
      <w:r>
        <w:separator/>
      </w:r>
    </w:p>
  </w:footnote>
  <w:footnote w:type="continuationSeparator" w:id="0">
    <w:p w14:paraId="059F3D5E" w14:textId="77777777" w:rsidR="00AF6AF1" w:rsidRDefault="00AF6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523204F1"/>
    <w:multiLevelType w:val="hybridMultilevel"/>
    <w:tmpl w:val="90F0C18E"/>
    <w:lvl w:ilvl="0" w:tplc="5CEC40A0">
      <w:start w:val="2"/>
      <w:numFmt w:val="decimal"/>
      <w:lvlText w:val="%1."/>
      <w:lvlJc w:val="left"/>
      <w:pPr>
        <w:ind w:left="1008" w:hanging="360"/>
      </w:pPr>
      <w:rPr>
        <w:rFonts w:hint="default"/>
      </w:rPr>
    </w:lvl>
    <w:lvl w:ilvl="1" w:tplc="32F6897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45596"/>
    <w:rsid w:val="00054FE5"/>
    <w:rsid w:val="00080512"/>
    <w:rsid w:val="00090468"/>
    <w:rsid w:val="000B1A9C"/>
    <w:rsid w:val="000B7BCF"/>
    <w:rsid w:val="000C522B"/>
    <w:rsid w:val="000D58AB"/>
    <w:rsid w:val="00112F1A"/>
    <w:rsid w:val="00145075"/>
    <w:rsid w:val="001741A0"/>
    <w:rsid w:val="0017558F"/>
    <w:rsid w:val="00175FA0"/>
    <w:rsid w:val="00194CD0"/>
    <w:rsid w:val="00195D17"/>
    <w:rsid w:val="001B3C28"/>
    <w:rsid w:val="001B49C9"/>
    <w:rsid w:val="001C4F79"/>
    <w:rsid w:val="001F168B"/>
    <w:rsid w:val="001F7831"/>
    <w:rsid w:val="00204045"/>
    <w:rsid w:val="00205162"/>
    <w:rsid w:val="0020712B"/>
    <w:rsid w:val="0022606D"/>
    <w:rsid w:val="00231728"/>
    <w:rsid w:val="002610D8"/>
    <w:rsid w:val="002747EC"/>
    <w:rsid w:val="002855BF"/>
    <w:rsid w:val="0028740D"/>
    <w:rsid w:val="002F0D22"/>
    <w:rsid w:val="003172DC"/>
    <w:rsid w:val="00325AE3"/>
    <w:rsid w:val="00326069"/>
    <w:rsid w:val="003340B7"/>
    <w:rsid w:val="003347ED"/>
    <w:rsid w:val="0035462D"/>
    <w:rsid w:val="00364B41"/>
    <w:rsid w:val="003A41EF"/>
    <w:rsid w:val="003B40AD"/>
    <w:rsid w:val="003C4E37"/>
    <w:rsid w:val="003E16BE"/>
    <w:rsid w:val="003F4E28"/>
    <w:rsid w:val="004006E8"/>
    <w:rsid w:val="00401855"/>
    <w:rsid w:val="00465587"/>
    <w:rsid w:val="00475AC0"/>
    <w:rsid w:val="00477455"/>
    <w:rsid w:val="004A1F7B"/>
    <w:rsid w:val="004C44D2"/>
    <w:rsid w:val="004C46D2"/>
    <w:rsid w:val="004D3578"/>
    <w:rsid w:val="004D380D"/>
    <w:rsid w:val="004E213A"/>
    <w:rsid w:val="00501C63"/>
    <w:rsid w:val="00503171"/>
    <w:rsid w:val="00506C28"/>
    <w:rsid w:val="00527A60"/>
    <w:rsid w:val="00534DA0"/>
    <w:rsid w:val="00543E6C"/>
    <w:rsid w:val="00565087"/>
    <w:rsid w:val="0056573F"/>
    <w:rsid w:val="00594999"/>
    <w:rsid w:val="00601BA1"/>
    <w:rsid w:val="00611566"/>
    <w:rsid w:val="00646D99"/>
    <w:rsid w:val="00656910"/>
    <w:rsid w:val="006657EA"/>
    <w:rsid w:val="006771D6"/>
    <w:rsid w:val="00694349"/>
    <w:rsid w:val="006C66D8"/>
    <w:rsid w:val="006D1E24"/>
    <w:rsid w:val="006E1417"/>
    <w:rsid w:val="006F6A2C"/>
    <w:rsid w:val="00710201"/>
    <w:rsid w:val="007342B5"/>
    <w:rsid w:val="00734A5B"/>
    <w:rsid w:val="00744E76"/>
    <w:rsid w:val="00757D40"/>
    <w:rsid w:val="007651ED"/>
    <w:rsid w:val="00781F0F"/>
    <w:rsid w:val="0078727C"/>
    <w:rsid w:val="00790418"/>
    <w:rsid w:val="0079049D"/>
    <w:rsid w:val="00793DC5"/>
    <w:rsid w:val="007B18D8"/>
    <w:rsid w:val="007C095F"/>
    <w:rsid w:val="007C2DD0"/>
    <w:rsid w:val="007F4AB9"/>
    <w:rsid w:val="008028A4"/>
    <w:rsid w:val="00813245"/>
    <w:rsid w:val="00833690"/>
    <w:rsid w:val="008768CA"/>
    <w:rsid w:val="00877EF9"/>
    <w:rsid w:val="00880559"/>
    <w:rsid w:val="008B5306"/>
    <w:rsid w:val="008D2E4D"/>
    <w:rsid w:val="008F043C"/>
    <w:rsid w:val="008F396F"/>
    <w:rsid w:val="0090271F"/>
    <w:rsid w:val="00902DB9"/>
    <w:rsid w:val="0090466A"/>
    <w:rsid w:val="00936071"/>
    <w:rsid w:val="00940212"/>
    <w:rsid w:val="00942EC2"/>
    <w:rsid w:val="00956451"/>
    <w:rsid w:val="00961B32"/>
    <w:rsid w:val="00962509"/>
    <w:rsid w:val="00970DB3"/>
    <w:rsid w:val="00974BB0"/>
    <w:rsid w:val="009A0AF3"/>
    <w:rsid w:val="009B07CD"/>
    <w:rsid w:val="009C19E9"/>
    <w:rsid w:val="009D74A6"/>
    <w:rsid w:val="00A10F02"/>
    <w:rsid w:val="00A204CA"/>
    <w:rsid w:val="00A53724"/>
    <w:rsid w:val="00A70576"/>
    <w:rsid w:val="00A82346"/>
    <w:rsid w:val="00A9671C"/>
    <w:rsid w:val="00AA1553"/>
    <w:rsid w:val="00AB4B2F"/>
    <w:rsid w:val="00AE57B2"/>
    <w:rsid w:val="00AF6AF1"/>
    <w:rsid w:val="00B05380"/>
    <w:rsid w:val="00B05962"/>
    <w:rsid w:val="00B15449"/>
    <w:rsid w:val="00B27303"/>
    <w:rsid w:val="00B47FD1"/>
    <w:rsid w:val="00B516BB"/>
    <w:rsid w:val="00B84DB2"/>
    <w:rsid w:val="00BA4953"/>
    <w:rsid w:val="00BC3555"/>
    <w:rsid w:val="00C12B51"/>
    <w:rsid w:val="00C24650"/>
    <w:rsid w:val="00C25465"/>
    <w:rsid w:val="00C33079"/>
    <w:rsid w:val="00C55159"/>
    <w:rsid w:val="00C83A13"/>
    <w:rsid w:val="00C9068C"/>
    <w:rsid w:val="00C92967"/>
    <w:rsid w:val="00CA3D0C"/>
    <w:rsid w:val="00CA654B"/>
    <w:rsid w:val="00CB72B8"/>
    <w:rsid w:val="00CD4C7B"/>
    <w:rsid w:val="00D33BE3"/>
    <w:rsid w:val="00D3792D"/>
    <w:rsid w:val="00D55E47"/>
    <w:rsid w:val="00D62E19"/>
    <w:rsid w:val="00D67CD1"/>
    <w:rsid w:val="00D738D6"/>
    <w:rsid w:val="00D80795"/>
    <w:rsid w:val="00D854BE"/>
    <w:rsid w:val="00D87E00"/>
    <w:rsid w:val="00D9134D"/>
    <w:rsid w:val="00D96D11"/>
    <w:rsid w:val="00DA293C"/>
    <w:rsid w:val="00DA7A03"/>
    <w:rsid w:val="00DB0DB8"/>
    <w:rsid w:val="00DB1818"/>
    <w:rsid w:val="00DC309B"/>
    <w:rsid w:val="00DC4DA2"/>
    <w:rsid w:val="00E46C08"/>
    <w:rsid w:val="00E471CF"/>
    <w:rsid w:val="00E62835"/>
    <w:rsid w:val="00E77645"/>
    <w:rsid w:val="00E83697"/>
    <w:rsid w:val="00EB7120"/>
    <w:rsid w:val="00EC0035"/>
    <w:rsid w:val="00EC4A25"/>
    <w:rsid w:val="00EC707F"/>
    <w:rsid w:val="00F025A2"/>
    <w:rsid w:val="00F07388"/>
    <w:rsid w:val="00F139E9"/>
    <w:rsid w:val="00F2026E"/>
    <w:rsid w:val="00F2210A"/>
    <w:rsid w:val="00F25CA2"/>
    <w:rsid w:val="00F37743"/>
    <w:rsid w:val="00F37875"/>
    <w:rsid w:val="00F54A3D"/>
    <w:rsid w:val="00F54CB0"/>
    <w:rsid w:val="00F653B8"/>
    <w:rsid w:val="00F71B89"/>
    <w:rsid w:val="00F7353C"/>
    <w:rsid w:val="00F7357D"/>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045596"/>
    <w:rPr>
      <w:color w:val="605E5C"/>
      <w:shd w:val="clear" w:color="auto" w:fill="E1DFDD"/>
    </w:rPr>
  </w:style>
  <w:style w:type="table" w:styleId="TableGrid">
    <w:name w:val="Table Grid"/>
    <w:basedOn w:val="TableNormal"/>
    <w:rsid w:val="00F25C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F25CA2"/>
    <w:rPr>
      <w:sz w:val="16"/>
      <w:szCs w:val="16"/>
    </w:rPr>
  </w:style>
  <w:style w:type="paragraph" w:styleId="CommentText">
    <w:name w:val="annotation text"/>
    <w:basedOn w:val="Normal"/>
    <w:link w:val="CommentTextChar"/>
    <w:rsid w:val="00F25CA2"/>
  </w:style>
  <w:style w:type="character" w:customStyle="1" w:styleId="CommentTextChar">
    <w:name w:val="Comment Text Char"/>
    <w:basedOn w:val="DefaultParagraphFont"/>
    <w:link w:val="CommentText"/>
    <w:rsid w:val="00F25C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WG2_RL2/TSGR2_105/Docs/R2-1900352.zip" TargetMode="External"/><Relationship Id="rId18" Type="http://schemas.openxmlformats.org/officeDocument/2006/relationships/hyperlink" Target="http://www.3gpp.org/ftp/tsg_ran/WG2_RL2/TSGR2_103/Docs/R2-1813462.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ftp/tsg_ran/WG2_RL2/TSGR2_103/Docs/R2-1813375.zip" TargetMode="External"/><Relationship Id="rId17" Type="http://schemas.openxmlformats.org/officeDocument/2006/relationships/hyperlink" Target="http://www.3gpp.org/ftp/tsg_ran/WG2_RL2/TSGR2_103bis/Docs/R2-1816024.zip" TargetMode="External"/><Relationship Id="rId2" Type="http://schemas.openxmlformats.org/officeDocument/2006/relationships/customXml" Target="../customXml/item2.xml"/><Relationship Id="rId16" Type="http://schemas.openxmlformats.org/officeDocument/2006/relationships/hyperlink" Target="http://www.3gpp.org/ftp/tsg_ran/WG2_RL2/TSGR2_103/Docs/R2-1813375.zip" TargetMode="External"/><Relationship Id="rId20" Type="http://schemas.openxmlformats.org/officeDocument/2006/relationships/hyperlink" Target="http://3gpp.org/ftp/tsg_ran/TSG_RAN/TSGR_80/Docs/RP-181459.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3gpp.org/ftp/tsg_ran/WG2_RL2/TSGR2_103/Docs/R2-1811335.zip" TargetMode="External"/><Relationship Id="rId10" Type="http://schemas.openxmlformats.org/officeDocument/2006/relationships/footnotes" Target="footnotes.xml"/><Relationship Id="rId19" Type="http://schemas.openxmlformats.org/officeDocument/2006/relationships/hyperlink" Target="http://3gpp.org/ftp/tsg_ran/WG2_RL2/TSGR2_104/Docs/R2-1819089.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3gpp.org/ftp/tsg_ran/WG2_RL2/TSGR2_AHs/2018_07_NR/Docs/R2-1810613.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5AIRPNAIUNRU-859666464-5415</_dlc_DocId>
    <_dlc_DocIdUrl xmlns="71c5aaf6-e6ce-465b-b873-5148d2a4c105">
      <Url>https://nokia.sharepoint.com/sites/c5g/e2earch/_layouts/15/DocIdRedir.aspx?ID=5AIRPNAIUNRU-859666464-5415</Url>
      <Description>5AIRPNAIUNRU-859666464-5415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3</Pages>
  <Words>1129</Words>
  <Characters>6439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7553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Tero Henttonen</cp:lastModifiedBy>
  <cp:revision>5</cp:revision>
  <dcterms:created xsi:type="dcterms:W3CDTF">2019-08-14T11:16:00Z</dcterms:created>
  <dcterms:modified xsi:type="dcterms:W3CDTF">2019-08-15T14:25:00Z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33237bba-096f-4624-b2c3-ca26b989065c</vt:lpwstr>
  </property>
</Properties>
</file>